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I.P.S.I.A.  "Primo Levi" </w:t>
      </w:r>
      <w:r>
        <w:rPr>
          <w:rFonts w:ascii="Times New Roman" w:hAnsi="Times New Roman" w:hint="default"/>
          <w:b w:val="1"/>
          <w:bCs w:val="1"/>
          <w:kern w:val="1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Parma</w:t>
      </w: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Cognome e nome __________________________________  data ____________classe ________</w:t>
      </w: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Area disciplinare:        Tecnico - Professionale</w:t>
      </w: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Accertamento della competenza: </w:t>
      </w:r>
      <w:r>
        <w:rPr>
          <w:rFonts w:ascii="Times New Roman" w:hAnsi="Times New Roman"/>
          <w:sz w:val="24"/>
          <w:szCs w:val="24"/>
          <w:rtl w:val="0"/>
          <w:lang w:val="it-IT"/>
        </w:rPr>
        <w:t>assistenza clienti</w:t>
      </w: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ind w:left="283"/>
        <w:jc w:val="right"/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acquisita</w:t>
      </w:r>
    </w:p>
    <w:tbl>
      <w:tblPr>
        <w:tblW w:w="963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90"/>
        <w:gridCol w:w="7348"/>
        <w:gridCol w:w="500"/>
        <w:gridCol w:w="494"/>
      </w:tblGrid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2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Da valutare</w:t>
            </w:r>
          </w:p>
        </w:tc>
        <w:tc>
          <w:tcPr>
            <w:tcW w:type="dxa" w:w="73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Conoscenze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Si</w:t>
            </w:r>
          </w:p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2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Es. pra 3</w:t>
            </w:r>
          </w:p>
        </w:tc>
        <w:tc>
          <w:tcPr>
            <w:tcW w:type="dxa" w:w="73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Officina d</w:t>
            </w:r>
            <w:r>
              <w:rPr>
                <w:rFonts w:ascii="Times New Roman" w:hAnsi="Times New Roman" w:hint="default"/>
                <w:kern w:val="1"/>
                <w:sz w:val="24"/>
                <w:szCs w:val="24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autoriparazione: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strumenti, tecnologie, metodi di lavoro e lavorazioni per l</w:t>
            </w:r>
            <w:r>
              <w:rPr>
                <w:rFonts w:ascii="Times New Roman" w:hAnsi="Times New Roman" w:hint="default"/>
                <w:kern w:val="1"/>
                <w:sz w:val="24"/>
                <w:szCs w:val="24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autoriparazione meccanica ed elett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rico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/elettronica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2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Es. pra 3</w:t>
            </w:r>
          </w:p>
        </w:tc>
        <w:tc>
          <w:tcPr>
            <w:tcW w:type="dxa" w:w="73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Tecnologia del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 veicolo a motore 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 e tecnica motoristica: componentistica, motore,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carrozzeria,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elettronica,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idraulica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 ecc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12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Es. pra 3</w:t>
            </w:r>
          </w:p>
        </w:tc>
        <w:tc>
          <w:tcPr>
            <w:tcW w:type="dxa" w:w="73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Sistemi di preventivazione tempi e costi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12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Es. pra 3</w:t>
            </w:r>
          </w:p>
        </w:tc>
        <w:tc>
          <w:tcPr>
            <w:tcW w:type="dxa" w:w="73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  <w:rPr>
                <w:rFonts w:ascii="Times New Roman" w:cs="Times New Roman" w:hAnsi="Times New Roman" w:eastAsia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Principi comuni e aspetti applicativi della legislazione vigente in materia</w:t>
            </w:r>
          </w:p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di sicurezza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2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Es. pra 3</w:t>
            </w:r>
          </w:p>
        </w:tc>
        <w:tc>
          <w:tcPr>
            <w:tcW w:type="dxa" w:w="73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  <w:rPr>
                <w:rFonts w:ascii="Times New Roman" w:cs="Times New Roman" w:hAnsi="Times New Roman" w:eastAsia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La sicurezza sul lavoro: regole e modalit</w:t>
            </w:r>
            <w:r>
              <w:rPr>
                <w:rFonts w:ascii="Times New Roman" w:hAnsi="Times New Roman" w:hint="default"/>
                <w:kern w:val="1"/>
                <w:sz w:val="24"/>
                <w:szCs w:val="24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di comportamento (generali</w:t>
            </w:r>
          </w:p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e specifiche).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2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Capacit</w:t>
            </w:r>
            <w:r>
              <w:rPr>
                <w:rFonts w:ascii="Times New Roman" w:hAnsi="Times New Roman" w:hint="default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à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5" w:hRule="atLeast"/>
        </w:trPr>
        <w:tc>
          <w:tcPr>
            <w:tcW w:type="dxa" w:w="12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Es. pra 3</w:t>
            </w:r>
          </w:p>
        </w:tc>
        <w:tc>
          <w:tcPr>
            <w:tcW w:type="dxa" w:w="73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Applicare procedure di accettazione del cliente e tecniche di rilevazione delle informazioni per definire lo stato  veicolo e le possibili cause di guasti/malfunzionamenti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2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Es. pra 3</w:t>
            </w:r>
          </w:p>
        </w:tc>
        <w:tc>
          <w:tcPr>
            <w:tcW w:type="dxa" w:w="73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Applicare tecniche di gestione del planning e di pianificazione di fasi e tempi di lavoro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5" w:hRule="atLeast"/>
        </w:trPr>
        <w:tc>
          <w:tcPr>
            <w:tcW w:type="dxa" w:w="12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Es. pra 3</w:t>
            </w:r>
          </w:p>
        </w:tc>
        <w:tc>
          <w:tcPr>
            <w:tcW w:type="dxa" w:w="73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Individuare le informazioni relative al funzionamento e ai servizi dell</w:t>
            </w:r>
            <w:r>
              <w:rPr>
                <w:rFonts w:ascii="Times New Roman" w:hAnsi="Times New Roman" w:hint="default"/>
                <w:kern w:val="1"/>
                <w:sz w:val="24"/>
                <w:szCs w:val="24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officina ( tempi, costi, tipologie dii intervento, ecc) necessarie al cliente in relazione alle sue specifiche esigenze.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Area disciplinare:        Tecnico - Professionale</w:t>
      </w: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ccertamento della competenza:</w:t>
      </w:r>
      <w:r>
        <w:rPr>
          <w:b w:val="1"/>
          <w:bCs w:val="1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Diagnosi tecnico e strumentale del veicolo a motore</w:t>
      </w:r>
    </w:p>
    <w:p>
      <w:pPr>
        <w:pStyle w:val="Normale"/>
        <w:widowControl w:val="0"/>
        <w:suppressAutoHyphens w:val="1"/>
        <w:spacing w:after="0" w:line="240" w:lineRule="auto"/>
        <w:ind w:left="283"/>
        <w:jc w:val="right"/>
        <w:rPr>
          <w:rFonts w:ascii="Times New Roman" w:cs="Times New Roman" w:hAnsi="Times New Roman" w:eastAsia="Times New Roman"/>
        </w:rPr>
      </w:pPr>
    </w:p>
    <w:p>
      <w:pPr>
        <w:pStyle w:val="Normale"/>
        <w:widowControl w:val="0"/>
        <w:suppressAutoHyphens w:val="1"/>
        <w:spacing w:after="0" w:line="240" w:lineRule="auto"/>
        <w:jc w:val="right"/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acquisita</w:t>
      </w:r>
    </w:p>
    <w:tbl>
      <w:tblPr>
        <w:tblW w:w="963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17"/>
        <w:gridCol w:w="7321"/>
        <w:gridCol w:w="500"/>
        <w:gridCol w:w="494"/>
      </w:tblGrid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Da valutare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Conoscenze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Si</w:t>
            </w:r>
          </w:p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Es. pra 3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Tecniche e strumenti di diagnosi e riparazione dei guasti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Es. pra 3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Principi comuni e aspetti applicativi della legislazione vigente in materia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di sicurezza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Es. pra 3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  <w:rPr>
                <w:rFonts w:ascii="Times New Roman" w:cs="Times New Roman" w:hAnsi="Times New Roman" w:eastAsia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La sicurezza sul lavoro: regole e modalit</w:t>
            </w:r>
            <w:r>
              <w:rPr>
                <w:rFonts w:ascii="Times New Roman" w:hAnsi="Times New Roman" w:hint="default"/>
                <w:kern w:val="1"/>
                <w:sz w:val="24"/>
                <w:szCs w:val="24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di comportamento (generali</w:t>
            </w:r>
          </w:p>
          <w:p>
            <w:pPr>
              <w:pStyle w:val="Normale"/>
              <w:spacing w:after="0" w:line="240" w:lineRule="auto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e specifiche).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Capacit</w:t>
            </w:r>
            <w:r>
              <w:rPr>
                <w:rFonts w:ascii="Times New Roman" w:hAnsi="Times New Roman" w:hint="default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à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Es. pra 3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Adottare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 tecnologie, gli strumenti e le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 attrezzature, mantenendo l</w:t>
            </w:r>
            <w:r>
              <w:rPr>
                <w:rFonts w:ascii="Times New Roman" w:hAnsi="Times New Roman" w:hint="default"/>
                <w:kern w:val="1"/>
                <w:sz w:val="24"/>
                <w:szCs w:val="24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ordine e la funzionalit</w:t>
            </w:r>
            <w:r>
              <w:rPr>
                <w:rFonts w:ascii="Times New Roman" w:hAnsi="Times New Roman" w:hint="default"/>
                <w:kern w:val="1"/>
                <w:sz w:val="24"/>
                <w:szCs w:val="24"/>
                <w:rtl w:val="0"/>
                <w:lang w:val="it-IT"/>
              </w:rPr>
              <w:t>à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, in base alla problematica riscontrata e alla tipologia di intervento da effettuare.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92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Es. pra 3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</w:rPr>
              <w:t>Individuare fasi sequenza e procedure standard per gli interventi di riparazione e manutenzione delle diverse parti e componenti e veicolo ( sistema motopropulsore, sitemi di trazione, ecc)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Accertamento della competenza:</w:t>
      </w:r>
      <w:r>
        <w:rPr>
          <w:rtl w:val="0"/>
          <w:lang w:val="it-IT"/>
        </w:rPr>
        <w:t xml:space="preserve"> 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 xml:space="preserve">Riparazione e 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>manutenzione delle parti meccaniche ed     elettrico/elettroniche del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 xml:space="preserve"> veicolo</w:t>
      </w:r>
    </w:p>
    <w:p>
      <w:pPr>
        <w:pStyle w:val="Normale"/>
        <w:widowControl w:val="0"/>
        <w:suppressAutoHyphens w:val="1"/>
        <w:spacing w:after="0" w:line="240" w:lineRule="auto"/>
        <w:ind w:left="283"/>
        <w:jc w:val="right"/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acquisita</w:t>
      </w:r>
    </w:p>
    <w:tbl>
      <w:tblPr>
        <w:tblW w:w="963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17"/>
        <w:gridCol w:w="7321"/>
        <w:gridCol w:w="501"/>
        <w:gridCol w:w="493"/>
      </w:tblGrid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Da valutare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Conoscenze</w:t>
            </w:r>
          </w:p>
        </w:tc>
        <w:tc>
          <w:tcPr>
            <w:tcW w:type="dxa" w:w="5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Si</w:t>
            </w:r>
          </w:p>
        </w:tc>
        <w:tc>
          <w:tcPr>
            <w:tcW w:type="dxa" w:w="4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Es. pra 3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Sistemi di alimentazione, di accensione,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raffreddamento,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carburazione e lubrificazione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, ecc.</w:t>
            </w:r>
          </w:p>
        </w:tc>
        <w:tc>
          <w:tcPr>
            <w:tcW w:type="dxa" w:w="5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Es. pra 3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Tecniche e strumenti di diagnosi e riparazione dei guasti</w:t>
            </w:r>
          </w:p>
        </w:tc>
        <w:tc>
          <w:tcPr>
            <w:tcW w:type="dxa" w:w="5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Es. pra 3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Impianti di trasmissione e di frenata</w:t>
            </w:r>
          </w:p>
        </w:tc>
        <w:tc>
          <w:tcPr>
            <w:tcW w:type="dxa" w:w="5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Es. pra 3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Strumenti di misura e controllo per la verifica di singoli componenti meccanici ed elettrico/elettronici per la loro messa a punto</w:t>
            </w:r>
          </w:p>
        </w:tc>
        <w:tc>
          <w:tcPr>
            <w:tcW w:type="dxa" w:w="5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Capacit</w:t>
            </w:r>
            <w:r>
              <w:rPr>
                <w:rFonts w:ascii="Times New Roman" w:hAnsi="Times New Roman" w:hint="default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à</w:t>
            </w:r>
          </w:p>
        </w:tc>
        <w:tc>
          <w:tcPr>
            <w:tcW w:type="dxa" w:w="5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Es. pra 3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Applicare le tecniche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e procedure per la verifica e il collaudo delle parti meccaniche e degli apparati elettro/elettronici del veicolo</w:t>
            </w:r>
          </w:p>
        </w:tc>
        <w:tc>
          <w:tcPr>
            <w:tcW w:type="dxa" w:w="5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Es. pra 3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Adottare tecniche di manutenzione e riparazione delle parti meccaniche del veicolo ( montaggio, sostituzione revisione, ecc) nel rispetto delle procedure e indicazioni tecniche delle case automobilistiche.</w:t>
            </w:r>
          </w:p>
        </w:tc>
        <w:tc>
          <w:tcPr>
            <w:tcW w:type="dxa" w:w="5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Accertamento della competenza:   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 xml:space="preserve">Manutenzione 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>e riparazione pneumatici</w:t>
      </w: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      </w:t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acquisita                                                                     </w:t>
      </w:r>
    </w:p>
    <w:tbl>
      <w:tblPr>
        <w:tblW w:w="9632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18"/>
        <w:gridCol w:w="7320"/>
        <w:gridCol w:w="500"/>
        <w:gridCol w:w="494"/>
      </w:tblGrid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Da valutare</w:t>
            </w:r>
          </w:p>
        </w:tc>
        <w:tc>
          <w:tcPr>
            <w:tcW w:type="dxa" w:w="73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Conoscenze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Si</w:t>
            </w:r>
          </w:p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Es. pra 3</w:t>
            </w:r>
          </w:p>
        </w:tc>
        <w:tc>
          <w:tcPr>
            <w:tcW w:type="dxa" w:w="73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Tipologie, caratteristiche e prestazioni degli pneumatici 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Es. pra 3</w:t>
            </w:r>
          </w:p>
        </w:tc>
        <w:tc>
          <w:tcPr>
            <w:tcW w:type="dxa" w:w="73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Il sistema ruota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Es. pra 3</w:t>
            </w:r>
          </w:p>
        </w:tc>
        <w:tc>
          <w:tcPr>
            <w:tcW w:type="dxa" w:w="73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Metodologie e strumenti per la diagnostica degli pneumatici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Es. pra 3</w:t>
            </w:r>
          </w:p>
        </w:tc>
        <w:tc>
          <w:tcPr>
            <w:tcW w:type="dxa" w:w="73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Tecniche di montaggio/smontaggio di pneumatici e cerchioni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5" w:hRule="atLeast"/>
        </w:trPr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Capacit</w:t>
            </w:r>
            <w:r>
              <w:rPr>
                <w:rFonts w:ascii="Times New Roman" w:hAnsi="Times New Roman" w:hint="default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à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Es. pra 3</w:t>
            </w:r>
          </w:p>
        </w:tc>
        <w:tc>
          <w:tcPr>
            <w:tcW w:type="dxa" w:w="73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Adottare tecniche, strumenti e materiali per la riparazione e la sostituzione di pneumatici/ cerchioni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5" w:hRule="atLeast"/>
        </w:trPr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Es. pra 3</w:t>
            </w:r>
          </w:p>
        </w:tc>
        <w:tc>
          <w:tcPr>
            <w:tcW w:type="dxa" w:w="73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ndividuare le modalit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 intervento in base alle richieste del cliente e all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eventuale problematiche riscontrata, nel rispetto degli standard di funzionamento e sicurezza definiti dalle case automobilistiche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20" w:hRule="atLeast"/>
        </w:trPr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Es. pra 3</w:t>
            </w:r>
          </w:p>
        </w:tc>
        <w:tc>
          <w:tcPr>
            <w:tcW w:type="dxa" w:w="73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Valutare 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il livello, idoneit</w:t>
            </w:r>
            <w:r>
              <w:rPr>
                <w:rFonts w:ascii="Times New Roman" w:hAnsi="Times New Roman" w:hint="default"/>
                <w:kern w:val="1"/>
                <w:sz w:val="24"/>
                <w:szCs w:val="24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residua degli pneumatici e assetto/ allineamento delle ruote, in conformit</w:t>
            </w:r>
            <w:r>
              <w:rPr>
                <w:rFonts w:ascii="Times New Roman" w:hAnsi="Times New Roman" w:hint="default"/>
                <w:kern w:val="1"/>
                <w:sz w:val="24"/>
                <w:szCs w:val="24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con la documentazione tecnica del veicolo, per individuare eventuali danni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uppressAutoHyphens w:val="1"/>
        <w:spacing w:after="0" w:line="240" w:lineRule="auto"/>
        <w:ind w:left="216" w:hanging="216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1276" w:right="1134" w:bottom="1134" w:left="1134" w:header="709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  <w:tabs>
        <w:tab w:val="right" w:pos="9612"/>
        <w:tab w:val="clear" w:pos="9638"/>
      </w:tabs>
      <w:spacing w:line="24" w:lineRule="auto"/>
    </w:pPr>
    <w:r>
      <w:rPr>
        <w:outline w:val="0"/>
        <w:color w:val="000000"/>
        <w:sz w:val="28"/>
        <w:szCs w:val="28"/>
        <w:u w:color="000000"/>
        <w:rtl w:val="0"/>
        <w:lang w:val="it-IT"/>
        <w14:textFill>
          <w14:solidFill>
            <w14:srgbClr w14:val="000000"/>
          </w14:solidFill>
        </w14:textFill>
      </w:rPr>
      <w:t>Operatore meccatronico dell'autoriparazione</w:t>
    </w:r>
    <w:r>
      <w:rPr>
        <w:outline w:val="0"/>
        <w:color w:val="000000"/>
        <w:sz w:val="28"/>
        <w:szCs w:val="28"/>
        <w:u w:color="000000"/>
        <w:rtl w:val="0"/>
        <w:lang w:val="it-IT"/>
        <w14:textFill>
          <w14:solidFill>
            <w14:srgbClr w14:val="000000"/>
          </w14:solidFill>
        </w14:textFill>
      </w:rPr>
      <w:t xml:space="preserve">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