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I.P.S.I.A.  "Primo Levi" 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Parma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Cognome e nome __________________________________  data ____________classe ________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b w:val="1"/>
          <w:bCs w:val="1"/>
          <w:rtl w:val="0"/>
          <w:lang w:val="it-IT"/>
        </w:rPr>
        <w:t xml:space="preserve">Accertamento della competenza: </w:t>
      </w:r>
      <w:r>
        <w:rPr>
          <w:rtl w:val="0"/>
          <w:lang w:val="it-IT"/>
        </w:rPr>
        <w:t>Diagnosi tecnico e strumentale del veicolo a motore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tl w:val="0"/>
          <w:lang w:val="it-IT"/>
        </w:rPr>
        <w:t xml:space="preserve"> </w:t>
      </w:r>
    </w:p>
    <w:p>
      <w:pPr>
        <w:pStyle w:val="Normale"/>
        <w:widowControl w:val="0"/>
        <w:suppressAutoHyphens w:val="1"/>
        <w:spacing w:after="0" w:line="240" w:lineRule="auto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7"/>
        <w:gridCol w:w="7321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2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Principali tipologie  di motore: motori a 2 tempi,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a 4 tempi,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diesel,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common rail, rotante alimentati a carburanti alternativi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, ibridi, elettrici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Capacit</w:t>
            </w:r>
            <w:r>
              <w:rPr>
                <w:rFonts w:ascii="Times New Roman" w:hAnsi="Times New Roman" w:hint="default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à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2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Comprendere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dati e schede in esito al ceck-up sul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veicolo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b w:val="1"/>
          <w:bCs w:val="1"/>
          <w:rtl w:val="0"/>
          <w:lang w:val="it-IT"/>
        </w:rPr>
        <w:t>Accertamento della competenza:</w:t>
      </w: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Riparazione 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manutenzione delle parti meccaniche ed     elettrico/elettroniche del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 veicolo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7"/>
        <w:gridCol w:w="7321"/>
        <w:gridCol w:w="501"/>
        <w:gridCol w:w="493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2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Officina d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i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autoriparazione: strumenti, tecnologie, metodi di lavoro e lavorazione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per l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autoriparazione meccanica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ed elettro/elettronica.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Accertamento della competenza:  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Manutenzione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e riparazione pneumatici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  </w:t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acquisita                                                                     </w:t>
      </w: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8"/>
        <w:gridCol w:w="7320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2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La sicurezza sul lavoro: regole e modalit</w:t>
            </w:r>
            <w:r>
              <w:rPr>
                <w:rFonts w:ascii="Times New Roman" w:hAnsi="Times New Roman" w:hint="default"/>
                <w:kern w:val="1"/>
                <w:sz w:val="24"/>
                <w:szCs w:val="24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di comportamento (generali e specifiche)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ind w:left="216" w:hanging="216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709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spacing w:line="24" w:lineRule="auto"/>
    </w:pP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>Operatore meccatronico dell'autoriparazione</w:t>
    </w: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